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4" w:rsidRDefault="002B4721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472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7.35pt;margin-top:-9.9pt;width:262.9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" stroked="f">
            <v:fill opacity="0"/>
            <v:textbox style="mso-fit-shape-to-text:t">
              <w:txbxContent>
                <w:p w:rsidR="00EB7D34" w:rsidRPr="00F36E45" w:rsidRDefault="00EB7D34" w:rsidP="00F76C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F36E4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УТВЕРЖДЕНА</w:t>
                  </w:r>
                </w:p>
                <w:p w:rsidR="00EB7D34" w:rsidRPr="00F36E45" w:rsidRDefault="00EB7D34" w:rsidP="00F76CD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F36E4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постановлением Администрации муниципального образования  «</w:t>
                  </w:r>
                  <w:proofErr w:type="spellStart"/>
                  <w:r w:rsidRPr="00F36E4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Починковский</w:t>
                  </w:r>
                  <w:proofErr w:type="spellEnd"/>
                  <w:r w:rsidRPr="00F36E45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 район» Смоленской области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25"/>
                    <w:gridCol w:w="279"/>
                    <w:gridCol w:w="208"/>
                    <w:gridCol w:w="1134"/>
                    <w:gridCol w:w="137"/>
                    <w:gridCol w:w="1134"/>
                    <w:gridCol w:w="284"/>
                    <w:gridCol w:w="368"/>
                  </w:tblGrid>
                  <w:tr w:rsidR="00EB7D34" w:rsidRPr="00F36E45" w:rsidTr="00314A75"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6E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 «</w:t>
                        </w:r>
                      </w:p>
                    </w:tc>
                    <w:tc>
                      <w:tcPr>
                        <w:tcW w:w="2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6E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7D34" w:rsidRPr="00F36E45" w:rsidRDefault="00EB7D34" w:rsidP="00D92C3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6E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22</w:t>
                        </w:r>
                        <w:r w:rsidRPr="00F36E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36E4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EB7D34" w:rsidRPr="00F36E45" w:rsidRDefault="00EB7D34" w:rsidP="00B968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B7D34" w:rsidRPr="00F36E45" w:rsidRDefault="00EB7D34" w:rsidP="00F76C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на </w:t>
      </w:r>
      <w:r w:rsidR="00B27EDE">
        <w:rPr>
          <w:rFonts w:ascii="Times New Roman" w:hAnsi="Times New Roman"/>
          <w:sz w:val="28"/>
          <w:szCs w:val="28"/>
        </w:rPr>
        <w:t>2025</w:t>
      </w:r>
      <w:r w:rsidRPr="00F36E45">
        <w:rPr>
          <w:rFonts w:ascii="Times New Roman" w:hAnsi="Times New Roman"/>
          <w:sz w:val="28"/>
          <w:szCs w:val="28"/>
        </w:rPr>
        <w:t xml:space="preserve"> год</w:t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     </w:t>
      </w: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      Книга 1</w:t>
      </w: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      Книга 2</w:t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>Стодолище</w:t>
      </w:r>
      <w:r w:rsidR="00B27EDE">
        <w:rPr>
          <w:rFonts w:ascii="Times New Roman" w:hAnsi="Times New Roman"/>
          <w:sz w:val="28"/>
          <w:szCs w:val="28"/>
        </w:rPr>
        <w:t xml:space="preserve"> 2024</w:t>
      </w:r>
    </w:p>
    <w:p w:rsidR="00EB7D34" w:rsidRPr="0026519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EB7D34" w:rsidRPr="00265194" w:rsidRDefault="00EB7D34" w:rsidP="00F76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1. </w:t>
      </w:r>
      <w:r w:rsidRPr="00F36E45">
        <w:rPr>
          <w:rFonts w:ascii="Times New Roman" w:hAnsi="Times New Roman"/>
          <w:kern w:val="3"/>
          <w:sz w:val="24"/>
          <w:szCs w:val="24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F36E45">
        <w:rPr>
          <w:rFonts w:ascii="Times New Roman" w:hAnsi="Times New Roman"/>
          <w:kern w:val="3"/>
          <w:sz w:val="24"/>
          <w:szCs w:val="24"/>
        </w:rPr>
        <w:t>Стодолищенского</w:t>
      </w:r>
      <w:proofErr w:type="spellEnd"/>
      <w:r w:rsidRPr="00F36E45">
        <w:rPr>
          <w:rFonts w:ascii="Times New Roman" w:hAnsi="Times New Roman"/>
          <w:kern w:val="3"/>
          <w:sz w:val="24"/>
          <w:szCs w:val="24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kern w:val="3"/>
          <w:sz w:val="24"/>
          <w:szCs w:val="24"/>
        </w:rPr>
        <w:t>Починковского</w:t>
      </w:r>
      <w:proofErr w:type="spellEnd"/>
      <w:r w:rsidRPr="00F36E45">
        <w:rPr>
          <w:rFonts w:ascii="Times New Roman" w:hAnsi="Times New Roman"/>
          <w:kern w:val="3"/>
          <w:sz w:val="24"/>
          <w:szCs w:val="24"/>
        </w:rPr>
        <w:t xml:space="preserve"> района Смоленской области на период до </w:t>
      </w:r>
      <w:r w:rsidR="00B27EDE">
        <w:rPr>
          <w:rFonts w:ascii="Times New Roman" w:hAnsi="Times New Roman"/>
          <w:kern w:val="3"/>
          <w:sz w:val="24"/>
          <w:szCs w:val="24"/>
        </w:rPr>
        <w:t>2025</w:t>
      </w:r>
      <w:r w:rsidRPr="00F36E45">
        <w:rPr>
          <w:rFonts w:ascii="Times New Roman" w:hAnsi="Times New Roman"/>
          <w:kern w:val="3"/>
          <w:sz w:val="24"/>
          <w:szCs w:val="24"/>
        </w:rPr>
        <w:t xml:space="preserve"> года</w:t>
      </w:r>
      <w:r w:rsidRPr="00F36E4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………………………………………………………………………….….4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>2. Перспективное потребление тепловой энергии на цели теплоснабжения</w:t>
      </w:r>
      <w:r w:rsidR="00B27EDE">
        <w:rPr>
          <w:rFonts w:ascii="Times New Roman" w:hAnsi="Times New Roman"/>
          <w:sz w:val="24"/>
          <w:szCs w:val="24"/>
        </w:rPr>
        <w:t xml:space="preserve"> на период до 2025</w:t>
      </w:r>
      <w:r w:rsidRPr="00F36E45">
        <w:rPr>
          <w:rFonts w:ascii="Times New Roman" w:hAnsi="Times New Roman"/>
          <w:sz w:val="24"/>
          <w:szCs w:val="24"/>
        </w:rPr>
        <w:t xml:space="preserve"> года………………………………………………...………………………………………..4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3. Электронная модель системы теплоснабжения </w:t>
      </w:r>
      <w:proofErr w:type="spellStart"/>
      <w:r w:rsidRPr="00F36E45">
        <w:rPr>
          <w:rFonts w:ascii="Times New Roman" w:hAnsi="Times New Roman"/>
          <w:sz w:val="24"/>
          <w:szCs w:val="24"/>
        </w:rPr>
        <w:t>Стодолищенского</w:t>
      </w:r>
      <w:proofErr w:type="spellEnd"/>
      <w:r w:rsidRPr="00F36E45">
        <w:rPr>
          <w:rFonts w:ascii="Times New Roman" w:hAnsi="Times New Roman"/>
          <w:sz w:val="24"/>
          <w:szCs w:val="24"/>
        </w:rPr>
        <w:t xml:space="preserve"> сельского поселения …………………………………………………………………………………………………….4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4. Перспективные балансы тепловой мощности тепловой нагрузки на период до </w:t>
      </w:r>
      <w:r w:rsidR="00B27EDE">
        <w:rPr>
          <w:rFonts w:ascii="Times New Roman" w:hAnsi="Times New Roman"/>
          <w:sz w:val="24"/>
          <w:szCs w:val="24"/>
        </w:rPr>
        <w:t>2025</w:t>
      </w:r>
      <w:r w:rsidRPr="00F36E45">
        <w:rPr>
          <w:rFonts w:ascii="Times New Roman" w:hAnsi="Times New Roman"/>
          <w:sz w:val="24"/>
          <w:szCs w:val="24"/>
        </w:rPr>
        <w:t xml:space="preserve"> года.....……………...……………………………………….………………………………...….4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5.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F36E45">
        <w:rPr>
          <w:rFonts w:ascii="Times New Roman" w:hAnsi="Times New Roman"/>
          <w:sz w:val="24"/>
          <w:szCs w:val="24"/>
        </w:rPr>
        <w:t>теплопотребляющими</w:t>
      </w:r>
      <w:proofErr w:type="spellEnd"/>
      <w:r w:rsidRPr="00F36E45">
        <w:rPr>
          <w:rFonts w:ascii="Times New Roman" w:hAnsi="Times New Roman"/>
          <w:sz w:val="24"/>
          <w:szCs w:val="24"/>
        </w:rPr>
        <w:t xml:space="preserve"> установками потребителей на период до </w:t>
      </w:r>
      <w:r w:rsidR="00B27EDE">
        <w:rPr>
          <w:rFonts w:ascii="Times New Roman" w:hAnsi="Times New Roman"/>
          <w:sz w:val="24"/>
          <w:szCs w:val="24"/>
        </w:rPr>
        <w:t>2025</w:t>
      </w:r>
      <w:r w:rsidRPr="00F36E45">
        <w:rPr>
          <w:rFonts w:ascii="Times New Roman" w:hAnsi="Times New Roman"/>
          <w:sz w:val="24"/>
          <w:szCs w:val="24"/>
        </w:rPr>
        <w:t xml:space="preserve"> года…………………………………………………………..4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6. Предложения по строительству, реконструкции и техническому перевооружению источников тепловой энергии на период до </w:t>
      </w:r>
      <w:r w:rsidR="00B27EDE">
        <w:rPr>
          <w:rFonts w:ascii="Times New Roman" w:hAnsi="Times New Roman"/>
          <w:sz w:val="24"/>
          <w:szCs w:val="24"/>
        </w:rPr>
        <w:t>2025</w:t>
      </w:r>
      <w:r w:rsidRPr="00F36E45">
        <w:rPr>
          <w:rFonts w:ascii="Times New Roman" w:hAnsi="Times New Roman"/>
          <w:sz w:val="24"/>
          <w:szCs w:val="24"/>
        </w:rPr>
        <w:t xml:space="preserve"> года………………………………………..4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7. Предложения по строительству, реконструкции тепловых сетей на период до </w:t>
      </w:r>
      <w:r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B27EDE">
        <w:rPr>
          <w:rFonts w:ascii="Times New Roman" w:hAnsi="Times New Roman"/>
          <w:sz w:val="24"/>
          <w:szCs w:val="24"/>
        </w:rPr>
        <w:t>5</w:t>
      </w:r>
      <w:r w:rsidRPr="00F36E45">
        <w:rPr>
          <w:rFonts w:ascii="Times New Roman" w:hAnsi="Times New Roman"/>
          <w:sz w:val="24"/>
          <w:szCs w:val="24"/>
        </w:rPr>
        <w:t>года…………………………………………………………………………………………..5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8. Перспективные топливные балансы на период до </w:t>
      </w:r>
      <w:r w:rsidR="00B27EDE">
        <w:rPr>
          <w:rFonts w:ascii="Times New Roman" w:hAnsi="Times New Roman"/>
          <w:sz w:val="24"/>
          <w:szCs w:val="24"/>
        </w:rPr>
        <w:t>2025</w:t>
      </w:r>
      <w:r w:rsidRPr="00F36E45">
        <w:rPr>
          <w:rFonts w:ascii="Times New Roman" w:hAnsi="Times New Roman"/>
          <w:sz w:val="24"/>
          <w:szCs w:val="24"/>
        </w:rPr>
        <w:t xml:space="preserve"> года…………….................……..5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>9. Оценка надежности теплоснабжения………………………………………………………..5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>…………………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>10. Обоснование инвестиций в строительство, реконструкцию и техническое перевооружение…………………………………………………………….……………………5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>11. Обоснование предложений по определению единой теплоснабжающей организации (организаций)………………….……………………………………………………………...….5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F36E45" w:rsidRDefault="00EB7D34" w:rsidP="00F76CDA">
      <w:pPr>
        <w:rPr>
          <w:rFonts w:ascii="Times New Roman" w:hAnsi="Times New Roman"/>
          <w:sz w:val="24"/>
          <w:szCs w:val="24"/>
        </w:rPr>
      </w:pPr>
      <w:r w:rsidRPr="00F36E45">
        <w:rPr>
          <w:rFonts w:ascii="Times New Roman" w:hAnsi="Times New Roman"/>
          <w:sz w:val="24"/>
          <w:szCs w:val="24"/>
        </w:rPr>
        <w:t xml:space="preserve">12. Отпуск тепловой энергии конечным потребителям на </w:t>
      </w:r>
      <w:r w:rsidR="00B27EDE">
        <w:rPr>
          <w:rFonts w:ascii="Times New Roman" w:hAnsi="Times New Roman"/>
          <w:sz w:val="24"/>
          <w:szCs w:val="24"/>
        </w:rPr>
        <w:t>2025</w:t>
      </w:r>
      <w:r w:rsidRPr="00F36E45">
        <w:rPr>
          <w:rFonts w:ascii="Times New Roman" w:hAnsi="Times New Roman"/>
          <w:sz w:val="24"/>
          <w:szCs w:val="24"/>
        </w:rPr>
        <w:t xml:space="preserve"> г…………………………....6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Pr="00265194" w:rsidRDefault="00EB7D34" w:rsidP="00F76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7D34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1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EB7D34" w:rsidRDefault="00EB7D34" w:rsidP="00F76C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 xml:space="preserve">1. </w:t>
      </w:r>
      <w:r w:rsidRPr="00F36E45">
        <w:rPr>
          <w:rFonts w:ascii="Times New Roman" w:hAnsi="Times New Roman"/>
          <w:b/>
          <w:kern w:val="3"/>
          <w:sz w:val="28"/>
          <w:szCs w:val="28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F36E45">
        <w:rPr>
          <w:rFonts w:ascii="Times New Roman" w:hAnsi="Times New Roman"/>
          <w:b/>
          <w:kern w:val="3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b/>
          <w:kern w:val="3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b/>
          <w:kern w:val="3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b/>
          <w:kern w:val="3"/>
          <w:sz w:val="28"/>
          <w:szCs w:val="28"/>
        </w:rPr>
        <w:t xml:space="preserve"> района Смо</w:t>
      </w:r>
      <w:r>
        <w:rPr>
          <w:rFonts w:ascii="Times New Roman" w:hAnsi="Times New Roman"/>
          <w:b/>
          <w:kern w:val="3"/>
          <w:sz w:val="28"/>
          <w:szCs w:val="28"/>
        </w:rPr>
        <w:t>л</w:t>
      </w:r>
      <w:r w:rsidR="00B27EDE">
        <w:rPr>
          <w:rFonts w:ascii="Times New Roman" w:hAnsi="Times New Roman"/>
          <w:b/>
          <w:kern w:val="3"/>
          <w:sz w:val="28"/>
          <w:szCs w:val="28"/>
        </w:rPr>
        <w:t>енской области на период до 2025</w:t>
      </w:r>
      <w:r w:rsidRPr="00F36E45">
        <w:rPr>
          <w:rFonts w:ascii="Times New Roman" w:hAnsi="Times New Roman"/>
          <w:b/>
          <w:kern w:val="3"/>
          <w:sz w:val="28"/>
          <w:szCs w:val="28"/>
        </w:rPr>
        <w:t xml:space="preserve"> года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7D34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«Схема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 Смоленской области до 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 xml:space="preserve">27года» утверждена Постановлением Администрации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от 23.06.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 xml:space="preserve">14г., № 027 «Об утверждении схемы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области». Основополагающими документами для проведения актуализации схемы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является Федеральный закон Российской Федерации от 27 июля 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>10 г</w:t>
      </w:r>
      <w:r>
        <w:rPr>
          <w:rFonts w:ascii="Times New Roman" w:hAnsi="Times New Roman"/>
          <w:sz w:val="28"/>
          <w:szCs w:val="28"/>
        </w:rPr>
        <w:t>ода № 190-ФЗ «О теплоснабжении»;</w:t>
      </w:r>
    </w:p>
    <w:p w:rsidR="00EB7D34" w:rsidRPr="00F36E45" w:rsidRDefault="00EB7D34" w:rsidP="00F76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6E45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22.02.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>12 г. № 154 «О требованиях к Схемам теплоснабжения, порядку их разработки и утверждения»</w:t>
      </w:r>
      <w:r>
        <w:rPr>
          <w:rFonts w:ascii="Times New Roman" w:hAnsi="Times New Roman"/>
          <w:sz w:val="28"/>
          <w:szCs w:val="28"/>
        </w:rPr>
        <w:t>.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Актуализация схемы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на период до </w:t>
      </w:r>
      <w:r w:rsidR="00B27EDE">
        <w:rPr>
          <w:rFonts w:ascii="Times New Roman" w:hAnsi="Times New Roman"/>
          <w:sz w:val="28"/>
          <w:szCs w:val="28"/>
        </w:rPr>
        <w:t>2025</w:t>
      </w:r>
      <w:r w:rsidRPr="00F36E45">
        <w:rPr>
          <w:rFonts w:ascii="Times New Roman" w:hAnsi="Times New Roman"/>
          <w:sz w:val="28"/>
          <w:szCs w:val="28"/>
        </w:rPr>
        <w:t xml:space="preserve"> года не предусматривает внесения принципиальных изменений по развитию и поддержанию системы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в утвержденную «Схему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до 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>27года».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 xml:space="preserve">2. Перспективное потребление тепловой энергии на цели теплоснабжения на период до </w:t>
      </w:r>
      <w:r w:rsidR="00B27EDE">
        <w:rPr>
          <w:rFonts w:ascii="Times New Roman" w:hAnsi="Times New Roman"/>
          <w:b/>
          <w:sz w:val="28"/>
          <w:szCs w:val="28"/>
        </w:rPr>
        <w:t>2025</w:t>
      </w:r>
      <w:r w:rsidRPr="00F36E45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Изменений не предусматривается.</w:t>
      </w: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 xml:space="preserve">3. Электронная модель системы теплоснабжения </w:t>
      </w:r>
      <w:proofErr w:type="spellStart"/>
      <w:r w:rsidRPr="00F36E45">
        <w:rPr>
          <w:rFonts w:ascii="Times New Roman" w:hAnsi="Times New Roman"/>
          <w:b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Изменений не предусматривается.</w:t>
      </w:r>
    </w:p>
    <w:p w:rsidR="00EB7D34" w:rsidRPr="00F36E45" w:rsidRDefault="00EB7D34" w:rsidP="00F76C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>4. Перспективные балансы тепловой мощности тепловой нагрузки на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E45">
        <w:rPr>
          <w:rFonts w:ascii="Times New Roman" w:hAnsi="Times New Roman"/>
          <w:b/>
          <w:sz w:val="28"/>
          <w:szCs w:val="28"/>
        </w:rPr>
        <w:t xml:space="preserve">до </w:t>
      </w:r>
      <w:r w:rsidR="00B27EDE">
        <w:rPr>
          <w:rFonts w:ascii="Times New Roman" w:hAnsi="Times New Roman"/>
          <w:b/>
          <w:sz w:val="28"/>
          <w:szCs w:val="28"/>
        </w:rPr>
        <w:t>2025</w:t>
      </w:r>
      <w:r w:rsidRPr="00F36E4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F36E45" w:rsidRDefault="00EB7D34" w:rsidP="00F76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>5. Перспективные балансы производительности водоподготовительных установок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E45">
        <w:rPr>
          <w:rFonts w:ascii="Times New Roman" w:hAnsi="Times New Roman"/>
          <w:b/>
          <w:sz w:val="28"/>
          <w:szCs w:val="28"/>
        </w:rPr>
        <w:t xml:space="preserve">и максимального потребления теплоносителя </w:t>
      </w:r>
      <w:proofErr w:type="spellStart"/>
      <w:r w:rsidRPr="00F36E45">
        <w:rPr>
          <w:rFonts w:ascii="Times New Roman" w:hAnsi="Times New Roman"/>
          <w:b/>
          <w:sz w:val="28"/>
          <w:szCs w:val="28"/>
        </w:rPr>
        <w:t>теплопотребляющими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E45">
        <w:rPr>
          <w:rFonts w:ascii="Times New Roman" w:hAnsi="Times New Roman"/>
          <w:b/>
          <w:sz w:val="28"/>
          <w:szCs w:val="28"/>
        </w:rPr>
        <w:t xml:space="preserve">установками потребителей на период до </w:t>
      </w:r>
      <w:r>
        <w:rPr>
          <w:rFonts w:ascii="Times New Roman" w:hAnsi="Times New Roman"/>
          <w:b/>
          <w:sz w:val="28"/>
          <w:szCs w:val="28"/>
        </w:rPr>
        <w:t>202</w:t>
      </w:r>
      <w:r w:rsidR="00B27EDE">
        <w:rPr>
          <w:rFonts w:ascii="Times New Roman" w:hAnsi="Times New Roman"/>
          <w:b/>
          <w:sz w:val="28"/>
          <w:szCs w:val="28"/>
        </w:rPr>
        <w:t>5</w:t>
      </w:r>
      <w:r w:rsidRPr="00F36E45">
        <w:rPr>
          <w:rFonts w:ascii="Times New Roman" w:hAnsi="Times New Roman"/>
          <w:sz w:val="28"/>
          <w:szCs w:val="28"/>
        </w:rPr>
        <w:t xml:space="preserve"> </w:t>
      </w:r>
      <w:r w:rsidRPr="00F36E45">
        <w:rPr>
          <w:rFonts w:ascii="Times New Roman" w:hAnsi="Times New Roman"/>
          <w:b/>
          <w:sz w:val="28"/>
          <w:szCs w:val="28"/>
        </w:rPr>
        <w:t>года</w:t>
      </w:r>
    </w:p>
    <w:p w:rsidR="00EB7D34" w:rsidRPr="00F36E45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>6. Предложения по строительству, реконструкции и техническому</w:t>
      </w:r>
    </w:p>
    <w:p w:rsidR="00EB7D34" w:rsidRPr="00F36E45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6E45">
        <w:rPr>
          <w:rFonts w:ascii="Times New Roman" w:hAnsi="Times New Roman"/>
          <w:b/>
          <w:sz w:val="28"/>
          <w:szCs w:val="28"/>
        </w:rPr>
        <w:t xml:space="preserve">перевооружению источников тепловой энергии на период до </w:t>
      </w:r>
      <w:r w:rsidR="00B27EDE">
        <w:rPr>
          <w:rFonts w:ascii="Times New Roman" w:hAnsi="Times New Roman"/>
          <w:b/>
          <w:sz w:val="28"/>
          <w:szCs w:val="28"/>
        </w:rPr>
        <w:t>2025</w:t>
      </w:r>
      <w:r w:rsidRPr="00F36E4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E45">
        <w:rPr>
          <w:rFonts w:ascii="Times New Roman" w:hAnsi="Times New Roman"/>
          <w:sz w:val="28"/>
          <w:szCs w:val="28"/>
        </w:rPr>
        <w:lastRenderedPageBreak/>
        <w:t xml:space="preserve"> В дополнение к утвержденной схеме теплоснабжения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6E45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36E45">
        <w:rPr>
          <w:rFonts w:ascii="Times New Roman" w:hAnsi="Times New Roman"/>
          <w:sz w:val="28"/>
          <w:szCs w:val="28"/>
        </w:rPr>
        <w:t xml:space="preserve"> района Смоленской области до </w:t>
      </w:r>
      <w:r>
        <w:rPr>
          <w:rFonts w:ascii="Times New Roman" w:hAnsi="Times New Roman"/>
          <w:sz w:val="28"/>
          <w:szCs w:val="28"/>
        </w:rPr>
        <w:t>20</w:t>
      </w:r>
      <w:r w:rsidRPr="00F36E45">
        <w:rPr>
          <w:rFonts w:ascii="Times New Roman" w:hAnsi="Times New Roman"/>
          <w:sz w:val="28"/>
          <w:szCs w:val="28"/>
        </w:rPr>
        <w:t xml:space="preserve">27 года перевод на индивидуальное газовое отопление квартир в </w:t>
      </w:r>
      <w:r w:rsidRPr="009E14B2">
        <w:rPr>
          <w:rFonts w:ascii="Times New Roman" w:hAnsi="Times New Roman"/>
          <w:sz w:val="28"/>
          <w:szCs w:val="28"/>
        </w:rPr>
        <w:t>многоквартирных жилых домах №5,7,15,15а,17,19,23,25,27,33 по ул</w:t>
      </w:r>
      <w:proofErr w:type="gramStart"/>
      <w:r w:rsidRPr="009E14B2">
        <w:rPr>
          <w:rFonts w:ascii="Times New Roman" w:hAnsi="Times New Roman"/>
          <w:sz w:val="28"/>
          <w:szCs w:val="28"/>
        </w:rPr>
        <w:t>.Л</w:t>
      </w:r>
      <w:proofErr w:type="gramEnd"/>
      <w:r w:rsidRPr="009E14B2">
        <w:rPr>
          <w:rFonts w:ascii="Times New Roman" w:hAnsi="Times New Roman"/>
          <w:sz w:val="28"/>
          <w:szCs w:val="28"/>
        </w:rPr>
        <w:t>енина; №11,13,15,16 по ул.Титова; №113 по ул.Советская; №2,3,4 по пер. 1-й Советский; №2,4,4а по пер. 2-й Советский</w:t>
      </w:r>
      <w:r w:rsidRPr="009E14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14B2">
        <w:rPr>
          <w:rFonts w:ascii="Times New Roman" w:hAnsi="Times New Roman"/>
          <w:sz w:val="28"/>
          <w:szCs w:val="28"/>
        </w:rPr>
        <w:t>расположенных в п</w:t>
      </w:r>
      <w:proofErr w:type="gramStart"/>
      <w:r w:rsidRPr="009E14B2">
        <w:rPr>
          <w:rFonts w:ascii="Times New Roman" w:hAnsi="Times New Roman"/>
          <w:sz w:val="28"/>
          <w:szCs w:val="28"/>
        </w:rPr>
        <w:t>.С</w:t>
      </w:r>
      <w:proofErr w:type="gramEnd"/>
      <w:r w:rsidRPr="009E14B2">
        <w:rPr>
          <w:rFonts w:ascii="Times New Roman" w:hAnsi="Times New Roman"/>
          <w:sz w:val="28"/>
          <w:szCs w:val="28"/>
        </w:rPr>
        <w:t xml:space="preserve">тодолище </w:t>
      </w:r>
      <w:proofErr w:type="spellStart"/>
      <w:r w:rsidRPr="009E14B2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9E14B2">
        <w:rPr>
          <w:rFonts w:ascii="Times New Roman" w:hAnsi="Times New Roman"/>
          <w:sz w:val="28"/>
          <w:szCs w:val="28"/>
        </w:rPr>
        <w:t xml:space="preserve"> района Смоленской области, подключенных к котельной п.Стодолище, 1-й Советский переулок, д.10а не предусмотрен.</w:t>
      </w: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 xml:space="preserve">7. Предложения по строительству, реконструкции тепловых сетей на период до </w:t>
      </w:r>
      <w:r>
        <w:rPr>
          <w:rFonts w:ascii="Times New Roman" w:hAnsi="Times New Roman"/>
          <w:b/>
          <w:sz w:val="28"/>
          <w:szCs w:val="28"/>
        </w:rPr>
        <w:t>20</w:t>
      </w:r>
      <w:r w:rsidRPr="009E14B2">
        <w:rPr>
          <w:rFonts w:ascii="Times New Roman" w:hAnsi="Times New Roman"/>
          <w:b/>
          <w:sz w:val="28"/>
          <w:szCs w:val="28"/>
        </w:rPr>
        <w:t>2</w:t>
      </w:r>
      <w:r w:rsidR="00B27EDE">
        <w:rPr>
          <w:rFonts w:ascii="Times New Roman" w:hAnsi="Times New Roman"/>
          <w:b/>
          <w:sz w:val="28"/>
          <w:szCs w:val="28"/>
        </w:rPr>
        <w:t>5</w:t>
      </w:r>
      <w:r w:rsidRPr="009E14B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14B2">
        <w:rPr>
          <w:rFonts w:ascii="Times New Roman" w:hAnsi="Times New Roman"/>
          <w:sz w:val="28"/>
          <w:szCs w:val="28"/>
        </w:rPr>
        <w:t xml:space="preserve">В дополнение к утвержденной схеме теплоснабжения </w:t>
      </w:r>
      <w:proofErr w:type="spellStart"/>
      <w:r w:rsidRPr="009E14B2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9E14B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E14B2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9E14B2">
        <w:rPr>
          <w:rFonts w:ascii="Times New Roman" w:hAnsi="Times New Roman"/>
          <w:sz w:val="28"/>
          <w:szCs w:val="28"/>
        </w:rPr>
        <w:t xml:space="preserve"> района Смоленской области до </w:t>
      </w:r>
      <w:r>
        <w:rPr>
          <w:rFonts w:ascii="Times New Roman" w:hAnsi="Times New Roman"/>
          <w:sz w:val="28"/>
          <w:szCs w:val="28"/>
        </w:rPr>
        <w:t>20</w:t>
      </w:r>
      <w:r w:rsidRPr="009E14B2">
        <w:rPr>
          <w:rFonts w:ascii="Times New Roman" w:hAnsi="Times New Roman"/>
          <w:sz w:val="28"/>
          <w:szCs w:val="28"/>
        </w:rPr>
        <w:t>27 года перевод на индивидуальное газовое отопление квартир в многоквартирных жилых домах №5,7,15,15а,17,19,23,25,27,33 по ул</w:t>
      </w:r>
      <w:proofErr w:type="gramStart"/>
      <w:r w:rsidRPr="009E14B2">
        <w:rPr>
          <w:rFonts w:ascii="Times New Roman" w:hAnsi="Times New Roman"/>
          <w:sz w:val="28"/>
          <w:szCs w:val="28"/>
        </w:rPr>
        <w:t>.Л</w:t>
      </w:r>
      <w:proofErr w:type="gramEnd"/>
      <w:r w:rsidRPr="009E14B2">
        <w:rPr>
          <w:rFonts w:ascii="Times New Roman" w:hAnsi="Times New Roman"/>
          <w:sz w:val="28"/>
          <w:szCs w:val="28"/>
        </w:rPr>
        <w:t>енина; №11,13,15,16 по ул.Титова; №113 по ул.Советская; №2,3,4 по пер. 1-й Советский; №2,4,4а по пер.2-й Советский</w:t>
      </w:r>
      <w:r w:rsidRPr="009E14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14B2">
        <w:rPr>
          <w:rFonts w:ascii="Times New Roman" w:hAnsi="Times New Roman"/>
          <w:sz w:val="28"/>
          <w:szCs w:val="28"/>
        </w:rPr>
        <w:t>расположенных в п</w:t>
      </w:r>
      <w:proofErr w:type="gramStart"/>
      <w:r w:rsidRPr="009E14B2">
        <w:rPr>
          <w:rFonts w:ascii="Times New Roman" w:hAnsi="Times New Roman"/>
          <w:sz w:val="28"/>
          <w:szCs w:val="28"/>
        </w:rPr>
        <w:t>.С</w:t>
      </w:r>
      <w:proofErr w:type="gramEnd"/>
      <w:r w:rsidRPr="009E14B2">
        <w:rPr>
          <w:rFonts w:ascii="Times New Roman" w:hAnsi="Times New Roman"/>
          <w:sz w:val="28"/>
          <w:szCs w:val="28"/>
        </w:rPr>
        <w:t xml:space="preserve">тодолище </w:t>
      </w:r>
      <w:proofErr w:type="spellStart"/>
      <w:r w:rsidRPr="009E14B2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9E14B2">
        <w:rPr>
          <w:rFonts w:ascii="Times New Roman" w:hAnsi="Times New Roman"/>
          <w:sz w:val="28"/>
          <w:szCs w:val="28"/>
        </w:rPr>
        <w:t xml:space="preserve"> района Смоленской области, подключенных к котельной п.Стодолище, 1-й Советский переулок, д.10а не предусмотрен.</w:t>
      </w: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14B2">
        <w:rPr>
          <w:rFonts w:ascii="Times New Roman" w:hAnsi="Times New Roman"/>
          <w:sz w:val="28"/>
          <w:szCs w:val="28"/>
        </w:rPr>
        <w:t>.</w:t>
      </w: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>8. Перспективные топ</w:t>
      </w:r>
      <w:r>
        <w:rPr>
          <w:rFonts w:ascii="Times New Roman" w:hAnsi="Times New Roman"/>
          <w:b/>
          <w:sz w:val="28"/>
          <w:szCs w:val="28"/>
        </w:rPr>
        <w:t xml:space="preserve">ливные </w:t>
      </w:r>
      <w:r w:rsidR="00B27EDE">
        <w:rPr>
          <w:rFonts w:ascii="Times New Roman" w:hAnsi="Times New Roman"/>
          <w:b/>
          <w:sz w:val="28"/>
          <w:szCs w:val="28"/>
        </w:rPr>
        <w:t>балансы на период до 2025</w:t>
      </w:r>
      <w:r w:rsidRPr="009E14B2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EB7D34" w:rsidRPr="009E14B2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9E14B2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9E14B2" w:rsidRDefault="00EB7D34" w:rsidP="00F76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 xml:space="preserve">9. Оценка надежности теплоснабжения </w:t>
      </w:r>
    </w:p>
    <w:p w:rsidR="00EB7D34" w:rsidRPr="009E14B2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9E14B2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>10. Обоснование инвестиций в строительство, реконструкцию и</w:t>
      </w: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>техническое перевооружение</w:t>
      </w:r>
    </w:p>
    <w:p w:rsidR="00EB7D34" w:rsidRPr="009E14B2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9E14B2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9E14B2" w:rsidRDefault="00EB7D34" w:rsidP="00F76CDA">
      <w:pPr>
        <w:pStyle w:val="a3"/>
        <w:rPr>
          <w:rFonts w:ascii="Times New Roman" w:hAnsi="Times New Roman"/>
          <w:sz w:val="28"/>
          <w:szCs w:val="28"/>
        </w:rPr>
      </w:pP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 xml:space="preserve">11. Обоснование предложений по определению </w:t>
      </w:r>
      <w:proofErr w:type="gramStart"/>
      <w:r w:rsidRPr="009E14B2">
        <w:rPr>
          <w:rFonts w:ascii="Times New Roman" w:hAnsi="Times New Roman"/>
          <w:b/>
          <w:sz w:val="28"/>
          <w:szCs w:val="28"/>
        </w:rPr>
        <w:t>единой</w:t>
      </w:r>
      <w:proofErr w:type="gramEnd"/>
      <w:r w:rsidRPr="009E14B2">
        <w:rPr>
          <w:rFonts w:ascii="Times New Roman" w:hAnsi="Times New Roman"/>
          <w:b/>
          <w:sz w:val="28"/>
          <w:szCs w:val="28"/>
        </w:rPr>
        <w:t xml:space="preserve"> теплоснабжающей</w:t>
      </w:r>
    </w:p>
    <w:p w:rsidR="00EB7D34" w:rsidRPr="009E14B2" w:rsidRDefault="00EB7D34" w:rsidP="00F76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>организации (организаций)</w:t>
      </w:r>
    </w:p>
    <w:p w:rsidR="00EB7D34" w:rsidRPr="009E14B2" w:rsidRDefault="00EB7D34" w:rsidP="00F76CDA">
      <w:pPr>
        <w:pStyle w:val="a3"/>
        <w:rPr>
          <w:rFonts w:ascii="Times New Roman" w:hAnsi="Times New Roman"/>
          <w:sz w:val="28"/>
          <w:szCs w:val="28"/>
        </w:rPr>
      </w:pPr>
      <w:r w:rsidRPr="009E14B2">
        <w:rPr>
          <w:rFonts w:ascii="Times New Roman" w:hAnsi="Times New Roman"/>
          <w:sz w:val="28"/>
          <w:szCs w:val="28"/>
        </w:rPr>
        <w:t xml:space="preserve">              Изменений не предусматривается.</w:t>
      </w:r>
    </w:p>
    <w:p w:rsidR="00EB7D34" w:rsidRPr="009E14B2" w:rsidRDefault="00EB7D34" w:rsidP="00F76C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B7D34" w:rsidRPr="0064359D" w:rsidRDefault="00EB7D34" w:rsidP="00F76C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7D34" w:rsidRPr="0064359D" w:rsidRDefault="00EB7D34" w:rsidP="00F76C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7D34" w:rsidRPr="0064359D" w:rsidRDefault="00EB7D34" w:rsidP="00F76C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7D34" w:rsidRPr="0064359D" w:rsidRDefault="00EB7D34" w:rsidP="00F76CD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7D34" w:rsidRDefault="00EB7D34" w:rsidP="00F76CDA">
      <w:pPr>
        <w:pStyle w:val="a3"/>
        <w:rPr>
          <w:b/>
          <w:sz w:val="28"/>
          <w:szCs w:val="28"/>
        </w:rPr>
        <w:sectPr w:rsidR="00EB7D34" w:rsidSect="00AC1D59">
          <w:headerReference w:type="default" r:id="rId6"/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horzAnchor="margin" w:tblpXSpec="center" w:tblpY="750"/>
        <w:tblW w:w="150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685"/>
        <w:gridCol w:w="2662"/>
        <w:gridCol w:w="1588"/>
        <w:gridCol w:w="2267"/>
        <w:gridCol w:w="1387"/>
        <w:gridCol w:w="1558"/>
        <w:gridCol w:w="1883"/>
      </w:tblGrid>
      <w:tr w:rsidR="00EB7D34" w:rsidRPr="007421D0" w:rsidTr="00277B91">
        <w:trPr>
          <w:trHeight w:val="294"/>
        </w:trPr>
        <w:tc>
          <w:tcPr>
            <w:tcW w:w="15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D34" w:rsidRPr="009E14B2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14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Баланс тепловой энергии на котельных на </w:t>
            </w:r>
            <w:r w:rsidR="00B27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2025</w:t>
            </w:r>
            <w:r w:rsidRPr="009E14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B7D34" w:rsidRPr="007421D0" w:rsidTr="00277B91">
        <w:trPr>
          <w:trHeight w:val="816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Выработка тепловой энергии, Гкал</w:t>
            </w:r>
          </w:p>
        </w:tc>
      </w:tr>
      <w:tr w:rsidR="00EB7D34" w:rsidRPr="007421D0" w:rsidTr="00277B91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7421D0">
              <w:rPr>
                <w:rFonts w:ascii="Times New Roman" w:hAnsi="Times New Roman"/>
                <w:color w:val="000000"/>
              </w:rPr>
              <w:t>Стодолищенский</w:t>
            </w:r>
            <w:proofErr w:type="spellEnd"/>
            <w:r w:rsidRPr="007421D0">
              <w:rPr>
                <w:rFonts w:ascii="Times New Roman" w:hAnsi="Times New Roman"/>
                <w:color w:val="000000"/>
              </w:rPr>
              <w:t xml:space="preserve"> ЖЭУ»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EB7D34" w:rsidP="00277B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7421D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421D0">
              <w:rPr>
                <w:rFonts w:ascii="Times New Roman" w:hAnsi="Times New Roman"/>
                <w:color w:val="000000"/>
              </w:rPr>
              <w:t>тодолище, пер.Советский, д.10А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B27EDE" w:rsidP="00277B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4320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B27EDE" w:rsidP="00277B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B27EDE" w:rsidP="00F76C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4910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B27EDE" w:rsidP="00F76C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7D34" w:rsidRPr="007421D0" w:rsidRDefault="00B27EDE" w:rsidP="00277B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4987</w:t>
            </w:r>
          </w:p>
        </w:tc>
      </w:tr>
      <w:tr w:rsidR="00B27EDE" w:rsidRPr="007421D0" w:rsidTr="00277B91">
        <w:trPr>
          <w:trHeight w:val="297"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421D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4320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4910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DE" w:rsidRPr="007421D0" w:rsidRDefault="00B27EDE" w:rsidP="00B27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4987</w:t>
            </w:r>
          </w:p>
        </w:tc>
      </w:tr>
    </w:tbl>
    <w:p w:rsidR="00EB7D34" w:rsidRPr="009E14B2" w:rsidRDefault="00EB7D34" w:rsidP="00F76CDA">
      <w:pPr>
        <w:jc w:val="center"/>
        <w:rPr>
          <w:rFonts w:ascii="Times New Roman" w:hAnsi="Times New Roman"/>
          <w:b/>
          <w:sz w:val="28"/>
          <w:szCs w:val="28"/>
        </w:rPr>
      </w:pPr>
      <w:r w:rsidRPr="009E14B2">
        <w:rPr>
          <w:rFonts w:ascii="Times New Roman" w:hAnsi="Times New Roman"/>
          <w:b/>
          <w:sz w:val="28"/>
          <w:szCs w:val="28"/>
        </w:rPr>
        <w:t>12. Отпуск тепловой энергии</w:t>
      </w:r>
      <w:r>
        <w:rPr>
          <w:rFonts w:ascii="Times New Roman" w:hAnsi="Times New Roman"/>
          <w:b/>
          <w:sz w:val="28"/>
          <w:szCs w:val="28"/>
        </w:rPr>
        <w:t xml:space="preserve"> конечным потребителям.</w:t>
      </w:r>
    </w:p>
    <w:p w:rsidR="00EB7D34" w:rsidRDefault="00EB7D34" w:rsidP="00F76CDA">
      <w:pPr>
        <w:spacing w:line="360" w:lineRule="auto"/>
        <w:rPr>
          <w:b/>
          <w:sz w:val="28"/>
          <w:szCs w:val="28"/>
        </w:rPr>
      </w:pPr>
    </w:p>
    <w:p w:rsidR="00EB7D34" w:rsidRDefault="00EB7D34" w:rsidP="00F76CDA">
      <w:pPr>
        <w:pStyle w:val="a3"/>
        <w:rPr>
          <w:b/>
          <w:sz w:val="28"/>
          <w:szCs w:val="28"/>
        </w:rPr>
      </w:pPr>
    </w:p>
    <w:p w:rsidR="00EB7D34" w:rsidRPr="00B4162B" w:rsidRDefault="00EB7D34" w:rsidP="00F76CDA">
      <w:pPr>
        <w:pStyle w:val="a3"/>
        <w:rPr>
          <w:b/>
          <w:sz w:val="24"/>
          <w:szCs w:val="24"/>
        </w:rPr>
      </w:pPr>
    </w:p>
    <w:p w:rsidR="00EB7D34" w:rsidRDefault="00EB7D34" w:rsidP="00F76CDA"/>
    <w:p w:rsidR="00EB7D34" w:rsidRDefault="00EB7D34"/>
    <w:sectPr w:rsidR="00EB7D34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4E" w:rsidRDefault="00270B4E">
      <w:pPr>
        <w:spacing w:after="0" w:line="240" w:lineRule="auto"/>
      </w:pPr>
      <w:r>
        <w:separator/>
      </w:r>
    </w:p>
  </w:endnote>
  <w:endnote w:type="continuationSeparator" w:id="0">
    <w:p w:rsidR="00270B4E" w:rsidRDefault="002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34" w:rsidRDefault="002B4721">
    <w:pPr>
      <w:pStyle w:val="a5"/>
      <w:jc w:val="center"/>
    </w:pPr>
    <w:fldSimple w:instr=" PAGE   \* MERGEFORMAT ">
      <w:r w:rsidR="00B27EDE">
        <w:rPr>
          <w:noProof/>
        </w:rPr>
        <w:t>1</w:t>
      </w:r>
    </w:fldSimple>
  </w:p>
  <w:p w:rsidR="00EB7D34" w:rsidRDefault="00EB7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4E" w:rsidRDefault="00270B4E">
      <w:pPr>
        <w:spacing w:after="0" w:line="240" w:lineRule="auto"/>
      </w:pPr>
      <w:r>
        <w:separator/>
      </w:r>
    </w:p>
  </w:footnote>
  <w:footnote w:type="continuationSeparator" w:id="0">
    <w:p w:rsidR="00270B4E" w:rsidRDefault="002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34" w:rsidRDefault="00EB7D34">
    <w:pPr>
      <w:pStyle w:val="a7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CDA"/>
    <w:rsid w:val="001312AA"/>
    <w:rsid w:val="002000AD"/>
    <w:rsid w:val="00265194"/>
    <w:rsid w:val="00270B4E"/>
    <w:rsid w:val="00277B91"/>
    <w:rsid w:val="002B4721"/>
    <w:rsid w:val="00314A75"/>
    <w:rsid w:val="00380F10"/>
    <w:rsid w:val="004E23A9"/>
    <w:rsid w:val="0064359D"/>
    <w:rsid w:val="007421D0"/>
    <w:rsid w:val="0099050F"/>
    <w:rsid w:val="009E14B2"/>
    <w:rsid w:val="00AC1D59"/>
    <w:rsid w:val="00B27EDE"/>
    <w:rsid w:val="00B4162B"/>
    <w:rsid w:val="00B96898"/>
    <w:rsid w:val="00D92C33"/>
    <w:rsid w:val="00DC7487"/>
    <w:rsid w:val="00EA59CC"/>
    <w:rsid w:val="00EB7D34"/>
    <w:rsid w:val="00F36E45"/>
    <w:rsid w:val="00F76CDA"/>
    <w:rsid w:val="00FC23FC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76CDA"/>
    <w:rPr>
      <w:rFonts w:eastAsia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76CDA"/>
    <w:rPr>
      <w:rFonts w:ascii="Calibri" w:hAnsi="Calibri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F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6CDA"/>
    <w:rPr>
      <w:rFonts w:ascii="Calibri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D92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2C33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5364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2</cp:revision>
  <dcterms:created xsi:type="dcterms:W3CDTF">2024-03-25T10:08:00Z</dcterms:created>
  <dcterms:modified xsi:type="dcterms:W3CDTF">2024-03-25T10:08:00Z</dcterms:modified>
</cp:coreProperties>
</file>